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A" w:rsidRPr="009151EA" w:rsidRDefault="009151EA" w:rsidP="009151E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9151EA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Трудовой договор как основа защиты прав гражда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н</w:t>
      </w:r>
    </w:p>
    <w:p w:rsidR="009151EA" w:rsidRPr="009151EA" w:rsidRDefault="009151EA" w:rsidP="009151EA">
      <w:pPr>
        <w:numPr>
          <w:ilvl w:val="0"/>
          <w:numId w:val="1"/>
        </w:numPr>
        <w:spacing w:after="0" w:line="300" w:lineRule="atLeast"/>
        <w:ind w:left="150" w:firstLine="262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Средне" w:history="1">
        <w:r w:rsidRPr="009151EA">
          <w:rPr>
            <w:rFonts w:ascii="Arial" w:eastAsia="Times New Roman" w:hAnsi="Arial" w:cs="Arial"/>
            <w:color w:val="2A2A2A"/>
            <w:sz w:val="20"/>
            <w:szCs w:val="20"/>
            <w:u w:val="single"/>
            <w:bdr w:val="none" w:sz="0" w:space="0" w:color="auto" w:frame="1"/>
            <w:lang w:eastAsia="ru-RU"/>
          </w:rPr>
          <w:t>3</w:t>
        </w:r>
      </w:hyperlink>
    </w:p>
    <w:p w:rsidR="009151EA" w:rsidRPr="009151EA" w:rsidRDefault="009151EA" w:rsidP="009151EA">
      <w:pPr>
        <w:numPr>
          <w:ilvl w:val="0"/>
          <w:numId w:val="1"/>
        </w:numPr>
        <w:spacing w:after="0" w:line="300" w:lineRule="atLeast"/>
        <w:ind w:left="150" w:firstLine="262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ooltip="Хорошо" w:history="1">
        <w:r w:rsidRPr="009151EA">
          <w:rPr>
            <w:rFonts w:ascii="Arial" w:eastAsia="Times New Roman" w:hAnsi="Arial" w:cs="Arial"/>
            <w:color w:val="2A2A2A"/>
            <w:sz w:val="20"/>
            <w:szCs w:val="20"/>
            <w:u w:val="single"/>
            <w:bdr w:val="none" w:sz="0" w:space="0" w:color="auto" w:frame="1"/>
            <w:lang w:eastAsia="ru-RU"/>
          </w:rPr>
          <w:t>4</w:t>
        </w:r>
      </w:hyperlink>
    </w:p>
    <w:p w:rsidR="009151EA" w:rsidRPr="009151EA" w:rsidRDefault="009151EA" w:rsidP="009151EA">
      <w:pPr>
        <w:numPr>
          <w:ilvl w:val="0"/>
          <w:numId w:val="1"/>
        </w:numPr>
        <w:spacing w:line="300" w:lineRule="atLeast"/>
        <w:ind w:left="150" w:firstLine="262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Отлично" w:history="1">
        <w:r w:rsidRPr="009151EA">
          <w:rPr>
            <w:rFonts w:ascii="Arial" w:eastAsia="Times New Roman" w:hAnsi="Arial" w:cs="Arial"/>
            <w:color w:val="2A2A2A"/>
            <w:sz w:val="20"/>
            <w:szCs w:val="20"/>
            <w:u w:val="single"/>
            <w:bdr w:val="none" w:sz="0" w:space="0" w:color="auto" w:frame="1"/>
            <w:lang w:eastAsia="ru-RU"/>
          </w:rPr>
          <w:t>5</w:t>
        </w:r>
      </w:hyperlink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Конституцией Российской Федерации каждому гарантировано право свободно распоряжаться своими способностями к труду, выбирать род деятельности и профессию (ст. 37 Конституции Российской Федерации).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Трудовые отношения возникают между работником и работодателем на основании трудового договора, который заключается в письменной форме в двух экземплярах, при этом каждый должен быть подписан как работником, так и работодателем (ст. 16 Трудового Кодекса Российской Федерации).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 общему правилу трудовой договор может быть заключен на: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неопределенный срок (если не оговорен срок действия трудового договора; а также в случае заключения трудового договора на определенный срок при отсутствии достаточных к тому оснований, установленных судом);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на определенный срок не более пяти лет (срочный трудовой договор).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Трудовой договор должен отражать следующие сведения и условия, перечисленные в статье 57 ТК РФ: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фамилия, имя, отчество работника;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наименование работодателя или фамилия, имя, отчество работодателя - физического лица;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сведения о представителе работодателя, подписавшем трудовой договор, и основание, в силу которого он наделен соответствующим полномочием;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сведения о документах, удостоверяющих личность работника и работодателя - физического лица;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место и дата заключения договора;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место работы с указанием данного подразделения и его местонахождения;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дата начала работы, а при заключении срочного трудового договора также срок его действия и обстоятельства (причины), послужившие основанием </w:t>
      </w:r>
      <w:proofErr w:type="spellStart"/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дляего</w:t>
      </w:r>
      <w:proofErr w:type="spellEnd"/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заключении;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режим рабочего времени и времени отдыха;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гарантии и компенсации за работу с вредными и (или) опасными условиями труда, если работник принимается на подобную работу, с указанием характеристик условий труда на рабочем месте;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условия труда на рабочем месте;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условия, определяющие в необходимых случаях характер работы (подвижной, разъездной, в пути, другой характер работы);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sym w:font="Symbol" w:char="F02D"/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условие об обязательном социальном страховании работника.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Одновременно, трудовой договор может содержать дополнительные условия, например, об испытательной сроке; неразглашении охраняемой законом тайны; о видах и об условиях дополнительного страхования работника и другие.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Если работник фактически допущен к работе с ведома или по поручению работодателя, его уполномоченного на это представителя без надлежащего оформления трудового договора считается, что трудовые отношения возникли между работником и работодателем (ст. 16 ТК РФ).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этом случае работодатель обязан оформить с работником трудовой договор в письменной форме не позднее трех рабочих дней со дня фактического допущения работника к работе, а если отношения,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 (ст. 67 ТК РФ).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На практике недобросовестные работодатели заключают с работниками не трудовые, а гражданско-правовые договоры, например договоры подряда, возмездного оказания услуг, поручения и др.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lastRenderedPageBreak/>
        <w:t>Отличительной особенностью гражданско-правового договора от трудового является отсутствие обязательств исполнителя (работника) по соблюдению правил внутреннего трудового распорядка, социально-трудовых гарантий, вместо условий оплаты труда такой договор содержит указание на вознаграждении за выполненную работу (услугу).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Обычно гражданско-правовой договор также содержит условие о материальной ответственности исполнителя за неисполнение (ненадлежащее исполнение) условий договора.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Защита трудовых прав работника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Органами по рассмотрению индивидуальных трудовых споров являются комиссии по трудовым спорам (при их наличии) и суды (ст. 382 ТК РФ).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Срок обращения в суд за разрешением индивидуального трудового спора о невыплате или неполной выплате заработной платы и других выплат, причитающихся работнику, составляет один год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(ст. 392 ТК РФ).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осуществляет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Государственная инспекция труда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</w:t>
      </w: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посредством проверок, выдачи обязательных для исполнения предписаний об устранении нарушений, составления протоколов и рассмотрения дел об административных правонарушениях в пределах полномочий, подготовки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 (ст. 356 ТК РФ).</w:t>
      </w:r>
    </w:p>
    <w:p w:rsidR="009151EA" w:rsidRPr="009151EA" w:rsidRDefault="009151EA" w:rsidP="009151EA">
      <w:pPr>
        <w:spacing w:after="225" w:line="360" w:lineRule="atLeast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9151EA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 случае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работник (гражданин) вправе обратиться в Государственную инспекцию труда, органы прокуратуры, суд с жалобой (заявлением) о защите нарушенных трудовых прав, свобод или законных интересов.</w:t>
      </w:r>
    </w:p>
    <w:p w:rsidR="009F484B" w:rsidRDefault="009F484B"/>
    <w:sectPr w:rsidR="009F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08"/>
    <w:multiLevelType w:val="hybridMultilevel"/>
    <w:tmpl w:val="986839C6"/>
    <w:lvl w:ilvl="0" w:tplc="BB22B1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5F43"/>
    <w:multiLevelType w:val="multilevel"/>
    <w:tmpl w:val="9DC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EA"/>
    <w:rsid w:val="009151EA"/>
    <w:rsid w:val="009F484B"/>
    <w:rsid w:val="00C0231C"/>
    <w:rsid w:val="00DF396B"/>
    <w:rsid w:val="00E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AF6C"/>
  <w15:chartTrackingRefBased/>
  <w15:docId w15:val="{43DA2F0D-4105-4947-A686-1E2F9DC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8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6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5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ravd.ru/procuracy-dep/p-news/1072-trudovoy-dogovor-kak-osnova-zaschity-prav-grazhd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ravd.ru/procuracy-dep/p-news/1072-trudovoy-dogovor-kak-osnova-zaschity-prav-grazhdan.html" TargetMode="External"/><Relationship Id="rId5" Type="http://schemas.openxmlformats.org/officeDocument/2006/relationships/hyperlink" Target="https://admpravd.ru/procuracy-dep/p-news/1072-trudovoy-dogovor-kak-osnova-zaschity-prav-grazhd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Адм ст.Кирпильская</cp:lastModifiedBy>
  <cp:revision>1</cp:revision>
  <dcterms:created xsi:type="dcterms:W3CDTF">2023-10-30T07:09:00Z</dcterms:created>
  <dcterms:modified xsi:type="dcterms:W3CDTF">2023-10-30T07:11:00Z</dcterms:modified>
</cp:coreProperties>
</file>